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MuSchSoldV</w:t>
      </w:r>
    </w:p>
    <w:p>
      <w:r>
        <w:rPr>
          <w:color w:val="555555"/>
          <w:sz w:val="18"/>
        </w:rPr>
        <w:t xml:space="preserve">Mutterschutzverordnung für Soldatinnen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 bis 5 der Verordnung zum Schutze der Mütter am Arbeitsplatz vom 15. April 1997 (BGBl. I S. 782) sind entsprechend anzuwenden.</w:t>
      </w:r>
    </w:p>
    <w:p>
      <w:r>
        <w:rPr>
          <w:color w:val="555555"/>
          <w:sz w:val="17"/>
        </w:rPr>
        <w:t xml:space="preserve">Zitiervorschlag: § 3a MuSchSoldV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https://recht.nulegal.eu/gesetze/MuSchSoldV/3a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