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MuSchG 2018 — Erlass von Rechtsverordnungen</w:t>
      </w:r>
    </w:p>
    <w:p>
      <w:r>
        <w:rPr>
          <w:color w:val="555555"/>
          <w:sz w:val="18"/>
        </w:rPr>
        <w:t xml:space="preserve">Mutterschutzgesetz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Bundesregierung wird ermächtigt, durch Rechtsverordnung mit Zustimmung des Bundesrates Folgendes zu regeln:</w:t>
      </w:r>
    </w:p>
    <w:p>
      <w:pPr>
        <w:ind w:left="420"/>
      </w:pPr>
      <w:r>
        <w:t xml:space="preserve">1. nähere Bestimmungen zum Begriff der unverantwortbaren Gefährdung nach § 9 Absatz 2 Satz 2 und 3,</w:t>
      </w:r>
    </w:p>
    <w:p>
      <w:pPr>
        <w:ind w:left="420"/>
      </w:pPr>
      <w:r>
        <w:t xml:space="preserve">2. nähere Bestimmungen zur Durchführung der erforderlichen Schutzmaßnahmen nach § 9 Absatz 1 und 2 und nach § 13,</w:t>
      </w:r>
    </w:p>
    <w:p>
      <w:pPr>
        <w:ind w:left="420"/>
      </w:pPr>
      <w:r>
        <w:t xml:space="preserve">3. nähere Bestimmungen zu Art und Umfang der Beurteilung der Arbeitsbedingungen nach § 10,</w:t>
      </w:r>
    </w:p>
    <w:p>
      <w:pPr>
        <w:ind w:left="420"/>
      </w:pPr>
      <w:r>
        <w:t xml:space="preserve">4. Festlegungen von unzulässigen Tätigkeiten und Arbeitsbedingungen im Sinne von § 11 oder § 12 oder von anderen nach diesem Gesetz unzulässigen Tätigkeiten und Arbeitsbedingungen,</w:t>
      </w:r>
    </w:p>
    <w:p>
      <w:pPr>
        <w:ind w:left="420"/>
      </w:pPr>
      <w:r>
        <w:t xml:space="preserve">5. nähere Bestimmungen zur Dokumentation und Information nach § 14,</w:t>
      </w:r>
    </w:p>
    <w:p>
      <w:pPr>
        <w:ind w:left="420"/>
      </w:pPr>
      <w:r>
        <w:t xml:space="preserve">6. nähere Bestimmungen zur Ermittlung des durchschnittlichen Arbeitsentgelts im Sinne der §§ 18 bis 22 und</w:t>
      </w:r>
    </w:p>
    <w:p>
      <w:pPr>
        <w:ind w:left="420"/>
      </w:pPr>
      <w:r>
        <w:t xml:space="preserve">7. nähere Bestimmungen zum erforderlichen Inhalt der Benachrichtigung, ihrer Form, der Art und Weise der Übermittlung sowie die Empfänger der vom Arbeitgeber nach § 27 zu meldenden Informationen.</w:t>
      </w:r>
    </w:p>
    <w:p>
      <w:r>
        <w:rPr>
          <w:color w:val="555555"/>
          <w:sz w:val="17"/>
        </w:rPr>
        <w:t xml:space="preserve">Zitiervorschlag: § 31 MuSchG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https://recht.nulegal.eu/gesetze/MuSchG%202018/31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