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MuSchG 2018 — Beschäftigung nach dem Ende des Beschäftigungsverbots</w:t>
      </w:r>
    </w:p>
    <w:p>
      <w:r>
        <w:rPr>
          <w:color w:val="555555"/>
          <w:sz w:val="18"/>
        </w:rPr>
        <w:t xml:space="preserve">Mutterschutzgesetz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Mit dem Ende eines Beschäftigungsverbots im Sinne von § 2 Absatz 3 hat eine Frau das Recht, entsprechend den vertraglich vereinbarten Bedingungen beschäftigt zu werden.</w:t>
      </w:r>
    </w:p>
    <w:p>
      <w:r>
        <w:rPr>
          <w:color w:val="555555"/>
          <w:sz w:val="17"/>
        </w:rPr>
        <w:t xml:space="preserve">Zitiervorschlag: § 25 MuSchG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https://recht.nulegal.eu/gesetze/MuSchG%202018/25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