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MuSchG 2018 — Leistungen während der Elternzeit</w:t>
      </w:r>
    </w:p>
    <w:p>
      <w:r>
        <w:rPr>
          <w:color w:val="555555"/>
          <w:sz w:val="18"/>
        </w:rPr>
        <w:t xml:space="preserve">Mutterschutzgesetz</w:t>
      </w:r>
    </w:p>
    <w:p>
      <w:r>
        <w:rPr>
          <w:color w:val="555555"/>
          <w:sz w:val="18"/>
        </w:rPr>
        <w:t xml:space="preserve">Stand: 10.06.2019 (konsolidierte Textfassung, kein amtliches Inkrafttretensdatum)</w:t>
      </w:r>
    </w:p>
    <w:p>
      <w:r>
        <w:t xml:space="preserve">Während der Elternzeit sind Ansprüche auf Leistungen nach den §§ 18 und 20 aus dem wegen der Elternzeit ruhenden Arbeitsverhältnis ausgeschlossen. Übt die Frau während der Elternzeit eine Teilzeitarbeit aus, ist für die Ermittlung des durchschnittlichen Arbeitsentgelts nur das Arbeitsentgelt aus dieser Teilzeitarbeit zugrunde zu legen.</w:t>
      </w:r>
    </w:p>
    <w:p>
      <w:r>
        <w:rPr>
          <w:color w:val="555555"/>
          <w:sz w:val="17"/>
        </w:rPr>
        <w:t xml:space="preserve">Zitiervorschlag: § 22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