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MuSchG 2018 — Ermittlung des durchschnittlichen Arbeitsentgelts</w:t>
      </w:r>
    </w:p>
    <w:p>
      <w:r>
        <w:rPr>
          <w:color w:val="555555"/>
          <w:sz w:val="18"/>
        </w:rPr>
        <w:t xml:space="preserve">Mutterschutzgesetz</w:t>
      </w:r>
    </w:p>
    <w:p>
      <w:r>
        <w:rPr>
          <w:color w:val="555555"/>
          <w:sz w:val="18"/>
        </w:rPr>
        <w:t xml:space="preserve">Stand: 10.06.2019 (konsolidierte Textfassung, kein amtliches Inkrafttretensdatum)</w:t>
      </w:r>
    </w:p>
    <w:p>
      <w:r>
        <w:t xml:space="preserve">(1) Bei der Bestimmung des Berechnungszeitraumes für die Ermittlung des durchschnittlichen Arbeitsentgelts für die Leistungen nach den §§ 18 bis 20 bleiben Zeiten unberücksichtigt, in denen die Frau infolge unverschuldeter Fehlzeiten kein Arbeitsentgelt erzielt hat. War das Beschäftigungsverhältnis kürzer als drei Monate, ist der Berechnung der tatsächliche Zeitraum des Beschäftigungsverhältnisses zugrunde zu legen.</w:t>
      </w:r>
    </w:p>
    <w:p>
      <w:r>
        <w:t xml:space="preserve">(2) Für die Ermittlung des durchschnittlichen Arbeitsentgelts für die Leistungen nach den §§ 18 bis 20 bleiben unberücksichtigt:</w:t>
      </w:r>
    </w:p>
    <w:p>
      <w:pPr>
        <w:ind w:left="420"/>
      </w:pPr>
      <w:r>
        <w:t xml:space="preserve">1. einmalig gezahltes Arbeitsentgelt im Sinne von § 23a des Vierten Buches Sozialgesetzbuch,</w:t>
      </w:r>
    </w:p>
    <w:p>
      <w:pPr>
        <w:ind w:left="420"/>
      </w:pPr>
      <w:r>
        <w:t xml:space="preserve">2. Kürzungen des Arbeitsentgelts, die im Berechnungszeitraum infolge von Kurzarbeit, Arbeitsausfällen oder unverschuldetem Arbeitsversäumnis eintreten, und</w:t>
      </w:r>
    </w:p>
    <w:p>
      <w:pPr>
        <w:ind w:left="420"/>
      </w:pPr>
      <w:r>
        <w:t xml:space="preserve">3. im Fall der Beendigung der Elternzeit nach dem Bundeselterngeld- und Elternzeitgesetz das Arbeitsentgelt aus Teilzeitbeschäftigung, das vor der Beendigung der Elternzeit während der Elternzeit erzielt wurde, soweit das durchschnittliche Arbeitsentgelt ohne die Berücksichtigung der Zeiten, in denen dieses Arbeitsentgelt erzielt wurde, höher ist.</w:t>
      </w:r>
    </w:p>
    <w:p>
      <w:r>
        <w:t xml:space="preserve">(3) Ist die Ermittlung des durchschnittlichen Arbeitsentgelts entsprechend den Absätzen 1 und 2 nicht möglich, ist das durchschnittliche kalendertägliche Arbeitsentgelt einer vergleichbar beschäftigten Person zugrunde zu legen.</w:t>
      </w:r>
    </w:p>
    <w:p>
      <w:r>
        <w:t xml:space="preserve">(4) Bei einer dauerhaften Änderung der Arbeitsentgelthöhe ist die geänderte Arbeitsentgelthöhe bei der Ermittlung des durchschnittlichen Arbeitsentgelts für die Leistungen nach den §§ 18 bis 20 zugrunde zu legen, und zwar</w:t>
      </w:r>
    </w:p>
    <w:p>
      <w:pPr>
        <w:ind w:left="420"/>
      </w:pPr>
      <w:r>
        <w:t xml:space="preserve">1. für den gesamten Berechnungszeitraum, wenn die Änderung während des Berechnungszeitraums wirksam wird,</w:t>
      </w:r>
    </w:p>
    <w:p>
      <w:pPr>
        <w:ind w:left="420"/>
      </w:pPr>
      <w:r>
        <w:t xml:space="preserve">2. ab Wirksamkeit der Änderung der Arbeitsentgelthöhe, wenn die Änderung der Arbeitsentgelthöhe nach dem Berechnungszeitraum wirksam wird.</w:t>
      </w:r>
    </w:p>
    <w:p>
      <w:r>
        <w:rPr>
          <w:color w:val="555555"/>
          <w:sz w:val="17"/>
        </w:rPr>
        <w:t xml:space="preserve">Zitiervorschlag: § 21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