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MuSchEltZV — Anwendung des Bundeselterngeld- und Elternzeitgesetzes</w:t>
      </w:r>
    </w:p>
    <w:p>
      <w:r>
        <w:rPr>
          <w:color w:val="555555"/>
          <w:sz w:val="18"/>
        </w:rPr>
        <w:t xml:space="preserve">Mutterschutz- und Elternzeitverordnung</w:t>
      </w:r>
    </w:p>
    <w:p>
      <w:r>
        <w:rPr>
          <w:color w:val="555555"/>
          <w:sz w:val="18"/>
        </w:rPr>
        <w:t xml:space="preserve">Stand: 29.05.2020 (konsolidierte Textfassung, kein amtliches Inkrafttretensdatum)</w:t>
      </w:r>
    </w:p>
    <w:p>
      <w:r>
        <w:t xml:space="preserve">Beamtinnen und Beamte haben Anspruch auf Elternzeit ohne Dienst- oder Anwärterbezüge entsprechend des § 15 Absatz 1 bis 3 sowie der §§ 16 und 28 Absatz 1 Satz 1 des Bundeselterngeld- und Elternzeitgesetzes.</w:t>
      </w:r>
    </w:p>
    <w:p>
      <w:r>
        <w:rPr>
          <w:color w:val="555555"/>
          <w:sz w:val="17"/>
        </w:rPr>
        <w:t xml:space="preserve">Zitiervorschlag: § 6 MuSchEltZV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https://recht.nulegal.eu/gesetze/MuSchEltZV/6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