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MuSchEltZV — Besoldung bei Beschäftigungsverbot, Untersuchungen und Stillen</w:t>
      </w:r>
    </w:p>
    <w:p>
      <w:r>
        <w:rPr>
          <w:color w:val="555555"/>
          <w:sz w:val="18"/>
        </w:rPr>
        <w:t xml:space="preserve">Mutterschutz- und Elternzeitverordnung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Durch die mutterschutzrechtlichen Beschäftigungsverbote mit Ausnahme des Verbots der Mehrarbeit wird die Zahlung der Dienst- und Anwärterbezüge nicht berührt (§§ 3 bis 6, 10 Absatz 3, § 13 Absatz 1 Nummer 3 und § 16 des Mutterschutzgesetzes). Dies gilt auch für das Dienstversäumnis wegen ärztlicher Untersuchungen bei Schwangerschaft und Mutterschaft sowie während des Stillens (§ 7 des Mutterschutzgesetzes).</w:t>
      </w:r>
    </w:p>
    <w:p>
      <w:r>
        <w:t xml:space="preserve">(2) Im Fall der vorzeitigen Beendigung einer Elternzeit nach § 16 Absatz 3 Satz 3 des Bundeselterngeld- und Elternzeitgesetzes richtet sich die Höhe der Dienst- und Anwärterbezüge nach dem Beschäftigungsumfang vor der Elternzeit oder während der Elternzeit, wobei die höheren Bezüge maßgeblich sind.</w:t>
      </w:r>
    </w:p>
    <w:p>
      <w:r>
        <w:t xml:space="preserve">(3) Bemessungsgrundlage für die Zahlung von Erschwerniszulagen nach der Erschwerniszulagenverordnung sowie für die Vergütung nach der Vollstreckungsvergütungsverordnung in der Fassung der Bekanntmachung vom 6. Januar 2003 (BGBl. I S. 8) in der jeweils geltenden Fassung ist der Durchschnitt der Zulagen und der Vergütungen der letzten drei Monate vor Beginn des Monats, in dem die Schwangerschaft eingetreten ist.</w:t>
      </w:r>
    </w:p>
    <w:p>
      <w:r>
        <w:rPr>
          <w:color w:val="555555"/>
          <w:sz w:val="17"/>
        </w:rPr>
        <w:t xml:space="preserve">Zitiervorschlag: § 3 MuSchEltZV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https://recht.nulegal.eu/gesetze/MuSchEltZV/3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