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MuSchEltZV — Allgemeines</w:t>
      </w:r>
    </w:p>
    <w:p>
      <w:r>
        <w:rPr>
          <w:color w:val="555555"/>
          <w:sz w:val="18"/>
        </w:rPr>
        <w:t xml:space="preserve">Mutterschutz- und Elternzeitverordnung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Mutterschutz von Personen in einem Beamtenverhältnis beim Bund sowie bei bundesunmittelbaren Körperschaften, Anstalten und Stiftungen des öffentlichen Rechts gelten die §§ 2 bis 5.</w:t>
      </w:r>
    </w:p>
    <w:p>
      <w:r>
        <w:rPr>
          <w:color w:val="555555"/>
          <w:sz w:val="17"/>
        </w:rPr>
        <w:t xml:space="preserve">Zitiervorschlag: § 1 MuSchEltZV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https://recht.nulegal.eu/gesetze/MuSchEltZV/1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