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MuSchÜbkG</w:t>
      </w:r>
    </w:p>
    <w:p>
      <w:r>
        <w:rPr>
          <w:color w:val="555555"/>
          <w:sz w:val="18"/>
        </w:rPr>
        <w:t xml:space="preserve">Gesetz über das Washingtoner Übereinkommen betreffend die Beschäftigung der Frauen vor und nach der Niederkunft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gleichzeitig mit dem Gesetz über die Beschäftigung vor und nach der Niederkunft in Kraft. ...</w:t>
      </w:r>
    </w:p>
    <w:p>
      <w:r>
        <w:rPr>
          <w:color w:val="555555"/>
          <w:sz w:val="17"/>
        </w:rPr>
        <w:t xml:space="preserve">Zitiervorschlag: § 2 MuSchÜbkG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https://recht.nulegal.eu/gesetze/MuSch%C3%9CbkG/2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