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MuLMstrV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24. September 1998 (BGBl. I S. 3074), der durch Artikel 1 Nr. 39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