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MuLMstrV — Übergangsvorschrift</w:t>
      </w:r>
    </w:p>
    <w:p>
      <w:r>
        <w:rPr>
          <w:color w:val="555555"/>
          <w:sz w:val="18"/>
        </w:rPr>
        <w:t xml:space="preserve">Maler- und Lackierermeisterverordnung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Regelungen des § 7 Absatz 6 und 7 gelten nicht für die bis zum 31. Dezember 2011 begonnenen Prüfungsverfahren. Diese werden nach den bisherigen Vorschriften zu Ende geführt.</w:t>
      </w:r>
    </w:p>
    <w:p>
      <w:r>
        <w:rPr>
          <w:color w:val="555555"/>
          <w:sz w:val="17"/>
        </w:rPr>
        <w:t xml:space="preserve">Zitiervorschlag: § 9 MuLMstrV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https://recht.nulegal.eu/gesetze/MuLMstrV/9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