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MuLMstrV — Gliederung, Prüfungsdauer und Bestehen des Teils II</w:t>
      </w:r>
    </w:p>
    <w:p>
      <w:r>
        <w:rPr>
          <w:color w:val="555555"/>
          <w:sz w:val="18"/>
        </w:rPr>
        <w:t xml:space="preserve">Maler- und Lackierermeisterverordnung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Technik und Gestaltung,</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Technik und GestaltungDer Prüfling soll nachweisen, dass er in der Lage ist, anwendungstechnische und gestalterische Aufgaben unter Berücksichtigung wirtschaftlicher und ökologischer Aspekte in einem Maler- und Lackiererbetrieb zu bearbeiten. Dabei soll er berufsbezogene Sachverhalte analysieren und bewerten. Bei der jeweiligen Aufgabenstellung sollen mehrere der unter Buchstabe a bis m aufgeführten Qualifikationen verknüpft werden:</w:t>
      </w:r>
    </w:p>
    <w:p>
      <w:pPr>
        <w:ind w:left="780"/>
      </w:pPr>
      <w:r>
        <w:t xml:space="preserve">a) Informationen für den Auftragsabwicklungsprozess eines Kundenauftrages beurteilen, insbesondere unter Berücksichtigung physikalischer, chemischer und biologischer Faktoren sowie der berufsbezogenen rechtlichen Vorschriften und technischen Normen,</w:t>
      </w:r>
    </w:p>
    <w:p>
      <w:pPr>
        <w:ind w:left="780"/>
      </w:pPr>
      <w:r>
        <w:t xml:space="preserve">b) Verfahren zur Oberflächenerstellung, -behandlung und -gestaltung, insbesondere unter Berücksichtigung der Untergrundbeschaffenheit und von Gestaltungsaspekten, beschreiben und bewerten,</w:t>
      </w:r>
    </w:p>
    <w:p>
      <w:pPr>
        <w:ind w:left="780"/>
      </w:pPr>
      <w:r>
        <w:t xml:space="preserve">c) Maßnahmen, Methoden und Alternativen der Instandsetzung und Instandhaltung darstellen und auswählen,</w:t>
      </w:r>
    </w:p>
    <w:p>
      <w:pPr>
        <w:ind w:left="780"/>
      </w:pPr>
      <w:r>
        <w:t xml:space="preserve">d) Lösungen zur Durchführung von Restaurierungsarbeiten entwickeln, bewerten und korrigieren,</w:t>
      </w:r>
    </w:p>
    <w:p>
      <w:pPr>
        <w:ind w:left="780"/>
      </w:pPr>
      <w:r>
        <w:t xml:space="preserve">e) werkstoffgerechten und anwendungsbezogenen Einsatz von Anlagen, Maschinen, Werkzeugen und Geräten beurteilen und bewerten,</w:t>
      </w:r>
    </w:p>
    <w:p>
      <w:pPr>
        <w:ind w:left="780"/>
      </w:pPr>
      <w:r>
        <w:t xml:space="preserve">f) Anwendung von Messsystemen, -geräten und -methoden sowie von physikalischen und chemischen Mess- und Analysetechniken beschreiben und bewerten,</w:t>
      </w:r>
    </w:p>
    <w:p>
      <w:pPr>
        <w:ind w:left="780"/>
      </w:pPr>
      <w:r>
        <w:t xml:space="preserve">g) Arten, Eigenschaften und Verhalten zu verarbeitender Werk- und Hilfsstoffe unterscheiden und Verwendungszwecken zuordnen, Prüfmethoden darstellen,</w:t>
      </w:r>
    </w:p>
    <w:p>
      <w:pPr>
        <w:ind w:left="780"/>
      </w:pPr>
      <w:r>
        <w:t xml:space="preserve">h) Gestaltungs-, Imitations-, Mal- und Sondertechniken beschreiben und beurteilen,</w:t>
      </w:r>
    </w:p>
    <w:p>
      <w:pPr>
        <w:ind w:left="780"/>
      </w:pPr>
      <w:r>
        <w:t xml:space="preserve">i) Sicherheits- und Kennzeichnungsfarben für Leit- und Orientierungssysteme auswählen und zuordnen,</w:t>
      </w:r>
    </w:p>
    <w:p>
      <w:pPr>
        <w:ind w:left="780"/>
      </w:pPr>
      <w:r>
        <w:t xml:space="preserve">j) Farbvorschläge unter Berücksichtigung der Farbenlehre und lichttechnischer Aspekte erarbeiten, bewerten und korrigieren; farbsymbolische und farbpsychologische Grundlagen beschreiben,</w:t>
      </w:r>
    </w:p>
    <w:p>
      <w:pPr>
        <w:ind w:left="780"/>
      </w:pPr>
      <w:r>
        <w:t xml:space="preserve">k) objekt- und funktionsgerechte Farbpläne erstellen, Stilepochen und objektspezifische Besonderheiten bestimmen und bei Konzeptionserstellung berücksichtigen,</w:t>
      </w:r>
    </w:p>
    <w:p>
      <w:pPr>
        <w:ind w:left="780"/>
      </w:pPr>
      <w:r>
        <w:t xml:space="preserve">l) Formanalysen durchführen, Lösungen für die Integration von Form und Fläche erarbeiten, bewerten und korrigieren,</w:t>
      </w:r>
    </w:p>
    <w:p>
      <w:pPr>
        <w:ind w:left="780"/>
      </w:pPr>
      <w:r>
        <w:t xml:space="preserve">m) auf der Grundlage berufsbezogener rechtlicher Vorschriften und technischer Normen Gesamtkonzepte mit Texten, Symbolen und Werbezeichen planen, darstellen und beurteilen;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h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Be- und Verarbeitungstechnik,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Haftung bei der Herstellung, der Instandhaltung und bei Dienstleistungen beurteilen,</w:t>
      </w:r>
    </w:p>
    <w:p>
      <w:pPr>
        <w:ind w:left="780"/>
      </w:pPr>
      <w:r>
        <w:t xml:space="preserve">e) Arbeitspläne, Skizzen und Zeichnungen erarbeiten, bewerten und korrigieren,</w:t>
      </w:r>
    </w:p>
    <w:p>
      <w:pPr>
        <w:ind w:left="780"/>
      </w:pPr>
      <w:r>
        <w:t xml:space="preserve">f) Unteraufträge vergeben und abwickeln,</w:t>
      </w:r>
    </w:p>
    <w:p>
      <w:pPr>
        <w:ind w:left="780"/>
      </w:pPr>
      <w:r>
        <w:t xml:space="preserve">g) Mängel- und Schadensaufnahme an Bauwerken, Bauteilen, Bauelementen sowie an Anlagen und deren Komponenten oder an Fahrzeugen oder Fahrzeugteilen durchführen und darstellen, Instandsetzungsalternativen aufzeigen und begründen sowie die erforderliche Abwicklung festlegen,</w:t>
      </w:r>
    </w:p>
    <w:p>
      <w:pPr>
        <w:ind w:left="780"/>
      </w:pPr>
      <w:r>
        <w:t xml:space="preserve">h) Mengen ermitteln und berechnen;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i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betriebliches Formularwesen, insbesondere Baustellen- und Werkstattdokumentationen, erarbeiten und darstellen,</w:t>
      </w:r>
    </w:p>
    <w:p>
      <w:pPr>
        <w:ind w:left="780"/>
      </w:pPr>
      <w:r>
        <w:t xml:space="preserve">i)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nach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7 MuLMstrV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https://recht.nulegal.eu/gesetze/MuLMstrV/7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