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MuLMstrV — Fachgespräch</w:t>
      </w:r>
    </w:p>
    <w:p>
      <w:r>
        <w:rPr>
          <w:color w:val="555555"/>
          <w:sz w:val="18"/>
        </w:rPr>
        <w:t xml:space="preserve">Maler- und Lackierermeisterverordnung</w:t>
      </w:r>
    </w:p>
    <w:p>
      <w:r>
        <w:rPr>
          <w:color w:val="555555"/>
          <w:sz w:val="18"/>
        </w:rPr>
        <w:t xml:space="preserve">Stand: 10.06.2019 (konsolidierte Textfassung, kein amtliches Inkrafttretensdatum)</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MuLMstrV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https://recht.nulegal.eu/gesetze/MuLMstrV/5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