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MuLMstrV — Meisterprüfungsprojekt</w:t>
      </w:r>
    </w:p>
    <w:p>
      <w:r>
        <w:rPr>
          <w:color w:val="555555"/>
          <w:sz w:val="18"/>
        </w:rPr>
        <w:t xml:space="preserve">Maler- und Lackierermeisterverordnung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Kundenanforderungen werden vom Meisterprüfungsausschuss festgelegt. Vorschläge des Prüflings für den Kundenauftrag sollen berücksichtigt werden.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in dem gewählten Schwerpunkt die nachfolgende Aufgabe durchzuführen:</w:t>
      </w:r>
    </w:p>
    <w:p>
      <w:pPr>
        <w:ind w:left="420"/>
      </w:pPr>
      <w:r>
        <w:t xml:space="preserve">1. Schwerpunkt Gestaltung und Instandhaltungeine gestalterische Lösung für die Neugestaltung oder Instandsetzung eines Gebäudes oder eines Gebäudeteils entwerfen, die ablauf-, anwendungs- und werkstofftechnische Ausführung planen und die Leistung kalkulieren, die Arbeiten durchführen sowie eine Dokumentation erstellen,</w:t>
      </w:r>
    </w:p>
    <w:p>
      <w:pPr>
        <w:ind w:left="420"/>
      </w:pPr>
      <w:r>
        <w:t xml:space="preserve">2. Schwerpunkt Kirchenmalerei und Denkmalpflegeeine gestalterische Lösung für die Neufassung oder Instandsetzung eines historischen Objekts entwerfen, die ablauf-, anwendungs- und werkstofftechnische Ausführung planen und die Leistung kalkulieren, die Arbeiten durchführen sowie eine Dokumentation erstellen,</w:t>
      </w:r>
    </w:p>
    <w:p>
      <w:pPr>
        <w:ind w:left="420"/>
      </w:pPr>
      <w:r>
        <w:t xml:space="preserve">3. Schwerpunkt Bauten- und Korrosionsschutzeine Lösung für den Erstschutz oder die Instandsetzung eines Bauwerks oder eines Objekts aus Stahl, Beton oder Stein entwerfen, die ablauf-, anwendungs- und werkstofftechnische Ausführung planen und die Leistung kalkulieren, die Arbeiten durchführen sowie eine Dokumentation erstellen,</w:t>
      </w:r>
    </w:p>
    <w:p>
      <w:pPr>
        <w:ind w:left="420"/>
      </w:pPr>
      <w:r>
        <w:t xml:space="preserve">4. Schwerpunkt Fahrzeuglackierungeine gestalterische Lösung für die Lackierung</w:t>
      </w:r>
    </w:p>
    <w:p>
      <w:pPr>
        <w:ind w:left="780"/>
      </w:pPr>
      <w:r>
        <w:t xml:space="preserve">a) eines Fahrzeuges oder Fahrzeugteils sowie die für die Lackierung erforderliche Instandsetzung von Karosserieschäden oder</w:t>
      </w:r>
    </w:p>
    <w:p>
      <w:pPr>
        <w:ind w:left="780"/>
      </w:pPr>
      <w:r>
        <w:t xml:space="preserve">b) eines historischen Fahrzeuges oder eines historischen Fahrzeugteils sowie die für die Lackierung erforderliche Restaurierung oder</w:t>
      </w:r>
    </w:p>
    <w:p>
      <w:pPr>
        <w:ind w:left="780"/>
      </w:pPr>
      <w:r>
        <w:t xml:space="preserve">c) eines Objekts oder eines Serienteils mit einer Design- oder Effektlackierung</w:t>
      </w:r>
    </w:p>
    <w:p>
      <w:pPr>
        <w:ind w:left="420"/>
      </w:pPr>
      <w:r>
        <w:t xml:space="preserve">entwerfen, die ablauf-, anwendungs- und werkstofftechnische Ausführung planen und die Leistung kalkulieren, die Arbeiten durchführen sowie eine Dokumentation erstellen.</w:t>
      </w:r>
    </w:p>
    <w:p>
      <w:r>
        <w:t xml:space="preserve">(4) Zum Nachweis der schwerpunktübergreifenden Qualifikationen sind bei der Durchführung des Meisterprüfungsprojekts nach Absatz 3 Be- und Verarbeitungsverfahren, unter Berücksichtigung der Untergrundprüfungen und -diagnosen, der Werk- und Hilfsstoffeignung sowie deren Auswahl unter Einbeziehung ökologischer und humantoxikologischer Gefährdungspotenziale anzuwenden und die objektbezogene Beratung unter Berücksichtigung der Farben-, Formen- und Gestaltungslehre, der Schrift sowie der Stilformen durchzuführen.</w:t>
      </w:r>
    </w:p>
    <w:p>
      <w:r>
        <w:t xml:space="preserve">(5) Die Entwurfs-, Planungs- und Kalkulationsunterlagen werden mit 40 vom Hundert, die durchgeführten Arbeiten mit 50 vom Hundert und die Dokumentation mit 10 vom Hundert gewichtet.</w:t>
      </w:r>
    </w:p>
    <w:p>
      <w:r>
        <w:rPr>
          <w:color w:val="555555"/>
          <w:sz w:val="17"/>
        </w:rPr>
        <w:t xml:space="preserve">Zitiervorschlag: § 4 MuLMstrV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https://recht.nulegal.eu/gesetze/MuLMstrV/4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