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MuLMstrV — Gliederung und Inhalt der Meisterprüfung</w:t>
      </w:r>
    </w:p>
    <w:p>
      <w:r>
        <w:rPr>
          <w:color w:val="555555"/>
          <w:sz w:val="18"/>
        </w:rPr>
        <w:t xml:space="preserve">Maler- und Lackierermeisterverordnung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Meisterprüfung im zulassungspflichtigen Maler- und Lackierer-Handwerk umfasst folgende selbständige Prüfungsteile:</w:t>
      </w:r>
    </w:p>
    <w:p>
      <w:pPr>
        <w:ind w:left="420"/>
      </w:pPr>
      <w:r>
        <w:t xml:space="preserve">1. die Prüfung der meisterhaften Verrichtung der wesentlichen Tätigkeiten (Teil I),</w:t>
      </w:r>
    </w:p>
    <w:p>
      <w:pPr>
        <w:ind w:left="420"/>
      </w:pPr>
      <w:r>
        <w:t xml:space="preserve">2. die Prüfung der erforderlichen fachtheoretischen Kenntnisse (Teil II),</w:t>
      </w:r>
    </w:p>
    <w:p>
      <w:pPr>
        <w:ind w:left="420"/>
      </w:pPr>
      <w:r>
        <w:t xml:space="preserve">3. die Prüfung der erforderlichen betriebswirtschaftlichen, kaufmännischen und rechtlichen Kenntnisse (Teil III) und</w:t>
      </w:r>
    </w:p>
    <w:p>
      <w:pPr>
        <w:ind w:left="420"/>
      </w:pPr>
      <w:r>
        <w:t xml:space="preserve">4. die Prüfung der erforderlichen berufs- und arbeitspädagogischen Kenntnisse (Teil IV).</w:t>
      </w:r>
    </w:p>
    <w:p>
      <w:r>
        <w:t xml:space="preserve">(2) Für die Meisterprüfung in Teil I im Maler- und Lackierer-Handwerk werden die Schwerpunkte Gestaltung und Instandhaltung, Kirchenmalerei und Denkmalpflege, Bauten- und Korrosionsschutz sowie Fahrzeuglackierung gebildet; der Prüfling hat einen dieser Schwerpunkte auszuwählen.</w:t>
      </w:r>
    </w:p>
    <w:p>
      <w:r>
        <w:rPr>
          <w:color w:val="555555"/>
          <w:sz w:val="17"/>
        </w:rPr>
        <w:t xml:space="preserve">Zitiervorschlag: § 1 MuLMstrV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https://recht.nulegal.eu/gesetze/MuLMstrV/1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