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MuKStiftG — Stiftungsrat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Stiftungsrat besteht aus</w:t>
      </w:r>
    </w:p>
    <w:p>
      <w:pPr>
        <w:ind w:left="420"/>
      </w:pPr>
      <w:r>
        <w:t xml:space="preserve">1. vier Vertretern des Bundesministeriums für Familie, Senioren, Frauen und Jugend,</w:t>
      </w:r>
    </w:p>
    <w:p>
      <w:pPr>
        <w:ind w:left="420"/>
      </w:pPr>
      <w:r>
        <w:t xml:space="preserve">2. einem Vertreter des Bundesministeriums der Finanzen,</w:t>
      </w:r>
    </w:p>
    <w:p>
      <w:pPr>
        <w:ind w:left="420"/>
      </w:pPr>
      <w:r>
        <w:t xml:space="preserve">3. vier Mitgliedern, die vom Bundesministerium für Familie, Senioren, Frauen und Jugend auf Vorschlag der in § 3 genannten Zuwendungsempfänger berufen werden.</w:t>
      </w:r>
    </w:p>
    <w:p>
      <w:r>
        <w:t xml:space="preserve">(2) Der Stiftungsrat wählt aus den Vertretern des Bundesministeriums für Familie, Senioren, Frauen und Jugend seinen Vorsitzenden und dessen Stellvertreter.</w:t>
      </w:r>
    </w:p>
    <w:p>
      <w:r>
        <w:t xml:space="preserve">(3) Für jedes Mitglied ist ein Vertreter zu bestellen.</w:t>
      </w:r>
    </w:p>
    <w:p>
      <w:r>
        <w:t xml:space="preserve">(4) Die Mitglieder des Stiftungsrates nach Absatz 1 Nr. 3 und deren Vertreter werden auf die Dauer von zwei Jahren berufen. Wiederholte Berufung ist zulässig. Scheidet ein Mitglied vorzeitig aus, ist für den Rest seiner Amtszeit ein Nachfolger zu berufen.</w:t>
      </w:r>
    </w:p>
    <w:p>
      <w:r>
        <w:t xml:space="preserve">(5) Der Stiftungsrat beschließt über alle grundsätzlichen Fragen, die zum Aufgabenbereich der Stiftung gehören, insbesondere über die Feststellung des Haushaltsplans und die Jahresrechnung. Er stellt nach Anhörung der in § 3 genannten Zuwendungsempfänger Richtlinien für die Vergabe und Verwendung der Stiftungsmittel auf und überwacht die Tätigkeit des Geschäftsführers. Er wählt für die Dauer von zwei Jahren zwei Rechnungsprüfer.</w:t>
      </w:r>
    </w:p>
    <w:p>
      <w:r>
        <w:t xml:space="preserve">(6) Der Stiftungsrat ist beschlußfähig, wenn mehr als die Hälfte seiner Mitglieder anwesend ist.</w:t>
      </w:r>
    </w:p>
    <w:p>
      <w:r>
        <w:t xml:space="preserve">(7) Der Stiftungsrat faßt seine Beschlüsse mit einfacher Mehrheit; bei Stimmengleichheit entscheidet die Stimme des Vorsitzenden.</w:t>
      </w:r>
    </w:p>
    <w:p>
      <w:r>
        <w:rPr>
          <w:color w:val="555555"/>
          <w:sz w:val="17"/>
        </w:rPr>
        <w:t xml:space="preserve">Zitiervorschlag: § 9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