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MuKStiftG — Pfändungsfreiheit, Verhältnis zu anderen Sozialleistungen</w:t>
      </w:r>
    </w:p>
    <w:p>
      <w:r>
        <w:rPr>
          <w:color w:val="555555"/>
          <w:sz w:val="18"/>
        </w:rPr>
        <w:t xml:space="preserve">Gesetz zur Errichtung einer Stiftung "Mutter und Kind - Schutz des ungeborenen Lebens"</w:t>
      </w:r>
    </w:p>
    <w:p>
      <w:r>
        <w:rPr>
          <w:color w:val="555555"/>
          <w:sz w:val="18"/>
        </w:rPr>
        <w:t xml:space="preserve">Stand: 01.12.2021 (konsolidierte Textfassung, kein amtliches Inkrafttretensdatum)</w:t>
      </w:r>
    </w:p>
    <w:p>
      <w:r>
        <w:t xml:space="preserve">(1) Leistungen, die dem in § 2 Abs. 1 genannten Personenkreis aus Mitteln der Stiftung im Rahmen des Stiftungszweckes gewährt werden, sind nicht pfändbar. Das gleiche gilt für Leistungen, die aus Mitteln anderer Stiftungen des öffentlichen Rechts oder aus Mitteln von Stiftungen, die von einer Körperschaft des öffentlichen Rechts errichtet wurden, zur Erreichung des in § 2 Abs. 1 genannten Zwecks gewährt werden. Wird eine Geldleistung auf das Konto der werdenden Mutter bei einem Geldinstitut überwiesen, gelten die Vorschriften der Zivilprozessordnung über das Pfändungsschutzkonto.</w:t>
      </w:r>
    </w:p>
    <w:p>
      <w:r>
        <w:t xml:space="preserve">(2) Leistungen der in Absatz 1 Satz 1 und Satz 2 genannten Art bleiben als Einkommen unberücksichtigt, wenn bei Sozialleistungen auf Grund von Rechtsvorschriften die Gewährung oder die Höhe dieser Leistungen von anderem Einkommen abhängig ist.</w:t>
      </w:r>
    </w:p>
    <w:p>
      <w:r>
        <w:rPr>
          <w:color w:val="555555"/>
          <w:sz w:val="17"/>
        </w:rPr>
        <w:t xml:space="preserve">Zitiervorschlag: § 5 MuKStiftG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https://recht.nulegal.eu/gesetze/MuKStiftG/5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