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MuKStiftG — Zuwendungsempfänger</w:t>
      </w:r>
    </w:p>
    <w:p>
      <w:r>
        <w:rPr>
          <w:color w:val="555555"/>
          <w:sz w:val="18"/>
        </w:rPr>
        <w:t xml:space="preserve">Gesetz zur Errichtung einer Stiftung "Mutter und Kind - Schutz des ungeborenen Lebens"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vergibt die Mittel nach Maßgabe des Satzes 2 an Einrichtungen in den Ländern, die im Rahmen des Stiftungszweckes (§ 2 Abs. 1) landesweit tätig sind und dabei keine hoheitlichen Befugnisse wahrnehmen. Die auf die einzelnen Länder entfallenden Mittel erhält entweder ein Zusammenschluß solcher Einrichtungen aus mehreren Ländern oder eine Einrichtung je Land.</w:t>
      </w:r>
    </w:p>
    <w:p>
      <w:r>
        <w:rPr>
          <w:color w:val="555555"/>
          <w:sz w:val="17"/>
        </w:rPr>
        <w:t xml:space="preserve">Zitiervorschlag: § 3 MuKStiftG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