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MuKFrRGDBest 1</w:t>
      </w:r>
    </w:p>
    <w:p>
      <w:r>
        <w:rPr>
          <w:color w:val="555555"/>
          <w:sz w:val="18"/>
        </w:rPr>
        <w:t xml:space="preserve">Erste Durchführungsbestimmung zum Gesetz über den Mutter- und Kinderschutz und die Rechte der Frau - Ausstellung von Ausweisen für Schwangere und Wöchnerinnen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mißbräuchlicher Benutzung kann der Ausweis durch die Abteilung Gesundheitswesen des Rates des Kreises sofort eingezogen werden.</w:t>
      </w:r>
    </w:p>
    <w:p>
      <w:r>
        <w:rPr>
          <w:color w:val="555555"/>
          <w:sz w:val="17"/>
        </w:rPr>
        <w:t xml:space="preserve">Zitiervorschlag: § 5 MuKFrRGDBest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https://recht.nulegal.eu/gesetze/MuKFrRGDBest%201/5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