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MtDFmEloAufklVDV — Lehrgang „Elektronische Kampfführung – Grundlagen der Sprechfunkaufklärung“</w:t>
      </w:r>
    </w:p>
    <w:p>
      <w:r>
        <w:rPr>
          <w:color w:val="555555"/>
          <w:sz w:val="18"/>
        </w:rPr>
        <w:t xml:space="preserve">Verordnung über den Vorbereitungsdienst für den mittleren technischen Verwaltungsdienst des Bundes im Verwendungsbereich Fernmelde- und Elektronische Aufklärung</w:t>
      </w:r>
    </w:p>
    <w:p>
      <w:r>
        <w:rPr>
          <w:color w:val="555555"/>
          <w:sz w:val="18"/>
        </w:rPr>
        <w:t xml:space="preserve">Stand: 07.02.2021 (konsolidierte Textfassung, kein amtliches Inkrafttretensdatum)</w:t>
      </w:r>
    </w:p>
    <w:p>
      <w:r>
        <w:t xml:space="preserve">(1) Im Lehrgang „Elektronische Kampfführung – Grundlagen der Sprechfunkaufklärung“ werden den Anwärterinnen und Anwärtern aufbauend auf den bisher erworbenen Kenntnissen der Fernmelde- und Elektronischen Aufklärung weiterführende Fähigkeiten und Fertigkeiten im Bereich der betrieblichen und technischen Grundlagen der Sprechfunkaufklärung vermittelt.</w:t>
      </w:r>
    </w:p>
    <w:p>
      <w:r>
        <w:t xml:space="preserve">(2) Die Anwärterinnen und Anwärter sollen in der Lage sein,</w:t>
      </w:r>
    </w:p>
    <w:p>
      <w:pPr>
        <w:ind w:left="420"/>
      </w:pPr>
      <w:r>
        <w:t xml:space="preserve">1. Funkverkehre im symmetrischen und asymmetrischen Umfeld, in Deutsch und nach Einweisung in ausgewählten Fremdsprachen zu erfassen, auszuwerten und unter Nutzung der festgelegten Formate zu melden, sowie</w:t>
      </w:r>
    </w:p>
    <w:p>
      <w:pPr>
        <w:ind w:left="420"/>
      </w:pPr>
      <w:r>
        <w:t xml:space="preserve">2. den Aufbau, die Funktionsweise und die Aufklärung aktueller Übertragungssysteme zu verstehen und zu beschreiben.</w:t>
      </w:r>
    </w:p>
    <w:p>
      <w:r>
        <w:rPr>
          <w:color w:val="555555"/>
          <w:sz w:val="17"/>
        </w:rPr>
        <w:t xml:space="preserve">Zitiervorschlag: § 28 MtDFmEloAufklVDV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https://recht.nulegal.eu/gesetze/MtDFmEloAufklVDV/28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MtDFmEloAufklVDV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