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MtDBwVVDV — Übergangsvorschrift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Verordnung über die Laufbahn, Ausbildung und Prüfung für den mittleren technischen Dienst in der Bundeswehrverwaltung – Fachrichtung Wehrtechnik – vom 17. April 2002 (BGBl. I S. 1444), die zuletzt durch Artikel 62 des Gesetzes vom 20. August 2021 (BGBl. I S. 3932) geändert worden ist, ist weiter anzuwenden</w:t>
      </w:r>
    </w:p>
    <w:p>
      <w:pPr>
        <w:ind w:left="420"/>
      </w:pPr>
      <w:r>
        <w:t xml:space="preserve">1. auf Auswahlverfahren, die vor dem 1. August 2024 begonnen wurden, und</w:t>
      </w:r>
    </w:p>
    <w:p>
      <w:pPr>
        <w:ind w:left="420"/>
      </w:pPr>
      <w:r>
        <w:t xml:space="preserve">2. auf Anwärterinnen und Anwärter, die den Vorbereitungsdienst für den mittleren technischen Dienst in der Bundeswehrverwaltung – Fachrichtung Wehrtechnik – vor dem 1. August 2024 begonnen haben.</w:t>
      </w:r>
    </w:p>
    <w:p>
      <w:r>
        <w:rPr>
          <w:color w:val="555555"/>
          <w:sz w:val="17"/>
        </w:rPr>
        <w:t xml:space="preserve">Zitiervorschlag: § 83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