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MtDBwVVDV — Wiederholung der Laufbahnprüfung</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17.03.2026 (konsolidierte Textfassung, kein amtliches Inkrafttretensdatum)</w:t>
      </w:r>
    </w:p>
    <w:p>
      <w:r>
        <w:t xml:space="preserve">(1) Im Wiederholungsfall (§ 20 Absatz 3 Nummer 1 und Absatz 5 Satz 1 Nummer 1 der Bundeslaufbahnverordnung) ist die Laufbahnprüfung vollständig zu wiederholen.</w:t>
      </w:r>
    </w:p>
    <w:p>
      <w:r>
        <w:t xml:space="preserve">(2) Im Wiederholungsfall bestimmt das Prüfungsamt auf Vorschlag der Prüfungskommission,</w:t>
      </w:r>
    </w:p>
    <w:p>
      <w:pPr>
        <w:ind w:left="420"/>
      </w:pPr>
      <w:r>
        <w:t xml:space="preserve">1. bis wann die Wiederholung der Laufbahnprüfung zu erfolgen hat und</w:t>
      </w:r>
    </w:p>
    <w:p>
      <w:pPr>
        <w:ind w:left="420"/>
      </w:pPr>
      <w:r>
        <w:t xml:space="preserve">2. ob und welche Ausbildungsabschnitte oder Teile von Ausbildungsabschnitten zu wiederholen sind.</w:t>
      </w:r>
    </w:p>
    <w:p>
      <w:r>
        <w:t xml:space="preserve">(3) Die Frist für die Wiederholung der Laufbahnprüfung soll mindestens drei Monate betragen und darf ein Jahr nicht überschreiten. Die Wiederholung soll zusammen mit den Anwärterinnen und Anwärtern der nächsten Laufbahnprüfung abgelegt werden.</w:t>
      </w:r>
    </w:p>
    <w:p>
      <w:r>
        <w:t xml:space="preserve">(4) Der Vorbereitungsdienst wird von der Einstellungsbehörde bis zum Ablauf der Frist für die Wiederholung verlängert.</w:t>
      </w:r>
    </w:p>
    <w:p>
      <w:r>
        <w:t xml:space="preserve">(5) Die bei der Wiederholung erreichten Rangpunkte und Rangpunktzahlen ersetzen die vorherigen.</w:t>
      </w:r>
    </w:p>
    <w:p>
      <w:r>
        <w:rPr>
          <w:color w:val="555555"/>
          <w:sz w:val="17"/>
        </w:rPr>
        <w:t xml:space="preserve">Zitiervorschlag: § 77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