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MtDBwVVDV — Abschlussnote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nach § 73 Absatz 2 und 3 gebildeten Rangpunktzahl wird die nach § 6 Absatz 1 entsprechende Note zugeordnet und als Abschlussnote von der Prüfungskommission der mündlichen Prüfung festgesetzt.</w:t>
      </w:r>
    </w:p>
    <w:p>
      <w:r>
        <w:t xml:space="preserve">(2) Die oder der Vorsitzende der Prüfungskommission der mündlichen Prüfung teilt jeder Anwärterin ihre und jedem Anwärter seine Abschlussnote mit und erläutert die Berechnung auf Wunsch.</w:t>
      </w:r>
    </w:p>
    <w:p>
      <w:r>
        <w:rPr>
          <w:color w:val="555555"/>
          <w:sz w:val="17"/>
        </w:rPr>
        <w:t xml:space="preserve">Zitiervorschlag: § 75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