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MtDBwVVDV — Zulassung zur mündlichen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Zur mündlichen Prüfung wird zugelassen, wer die schriftliche Prüfung bestanden hat.</w:t>
      </w:r>
    </w:p>
    <w:p>
      <w:r>
        <w:t xml:space="preserve">(2) Über die Zulassung oder Nichtzulassung erstellt das Prüfungsamt einen schriftlichen oder elektronischen Bescheid.</w:t>
      </w:r>
    </w:p>
    <w:p>
      <w:r>
        <w:t xml:space="preserve">(3) Mit dem Bescheid teilt das Prüfungsamt den Anwärterinnen und Anwärtern zudem die von ihnen in den einzelnen Klausuren erzielten Rangpunkte und die Rangpunktzahl der schriftlichen Prüfung mit.</w:t>
      </w:r>
    </w:p>
    <w:p>
      <w:r>
        <w:rPr>
          <w:color w:val="555555"/>
          <w:sz w:val="17"/>
        </w:rPr>
        <w:t xml:space="preserve">Zitiervorschlag: § 66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