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MtDBwVVDV — Zweck der schriftlichen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In der schriftlichen Prüfung müssen die Anwärterinnen und Anwärter nachweisen, dass sie in der Lage sind,</w:t>
      </w:r>
    </w:p>
    <w:p>
      <w:pPr>
        <w:ind w:left="420"/>
      </w:pPr>
      <w:r>
        <w:t xml:space="preserve">1. die Aufgaben des mittleren technischen Verwaltungsdienstes im Verwendungsbereich Wehrtechnik rasch und sicher zu erfassen,</w:t>
      </w:r>
    </w:p>
    <w:p>
      <w:pPr>
        <w:ind w:left="420"/>
      </w:pPr>
      <w:r>
        <w:t xml:space="preserve">2. diese Aufgaben mit den zugelassenen Hilfsmitteln zu lösen und</w:t>
      </w:r>
    </w:p>
    <w:p>
      <w:pPr>
        <w:ind w:left="420"/>
      </w:pPr>
      <w:r>
        <w:t xml:space="preserve">3. das Ergebnis knapp und übersichtlich darzustellen.</w:t>
      </w:r>
    </w:p>
    <w:p>
      <w:r>
        <w:rPr>
          <w:color w:val="555555"/>
          <w:sz w:val="17"/>
        </w:rPr>
        <w:t xml:space="preserve">Zitiervorschlag: § 59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