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MtDBwVVDV — Ort und Termin der Laufbahnprüfung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Das Prüfungsamt setzt jeweils den Ort und den Termin der schriftlichen Prüfung und der mündlichen Prüfung fest.</w:t>
      </w:r>
    </w:p>
    <w:p>
      <w:r>
        <w:t xml:space="preserve">(2) Die schriftliche Prüfung soll spätestens eine Woche vor Beginn der mündlichen Prüfung abgeschlossen sein.</w:t>
      </w:r>
    </w:p>
    <w:p>
      <w:r>
        <w:t xml:space="preserve">(3) Die festgelegten Orte und Termine teilt das Prüfungsamt den Anwärterinnen und Anwärtern rechtzeitig mit.</w:t>
      </w:r>
    </w:p>
    <w:p>
      <w:r>
        <w:rPr>
          <w:color w:val="555555"/>
          <w:sz w:val="17"/>
        </w:rPr>
        <w:t xml:space="preserve">Zitiervorschlag: § 58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