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MtDBwVVDV — Zweck der Laufbahnprüfung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In der Laufbahnprüfung müssen die Anwärterinnen und Anwärter nachweisen,</w:t>
      </w:r>
    </w:p>
    <w:p>
      <w:pPr>
        <w:ind w:left="420"/>
      </w:pPr>
      <w:r>
        <w:t xml:space="preserve">1. dass sie das erforderliche Wissen und fachliche Können erworben haben und</w:t>
      </w:r>
    </w:p>
    <w:p>
      <w:pPr>
        <w:ind w:left="420"/>
      </w:pPr>
      <w:r>
        <w:t xml:space="preserve">2. dass sie fähig sind, die Dienstgeschäfte ihrer Laufbahn ordnungsgemäß wahrzunehmen.</w:t>
      </w:r>
    </w:p>
    <w:p>
      <w:r>
        <w:t xml:space="preserve">Die Laufbahnprüfung ist an den Lehrinhalten der Ausbildungsabschnitte auszurichten.</w:t>
      </w:r>
    </w:p>
    <w:p>
      <w:r>
        <w:rPr>
          <w:color w:val="555555"/>
          <w:sz w:val="17"/>
        </w:rPr>
        <w:t xml:space="preserve">Zitiervorschlag: § 49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