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MtDBwVVDV — Rangpunktzahl der Ausbildungsabschnitte der berufspraktischen Ausbildung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Nach dem Ende der berufspraktischen Ausbildung berechnet die Ausbildungsleitung für jede Anwärterin und jeden Anwärter die Rangpunktzahl der berufspraktischen Ausbildung.</w:t>
      </w:r>
    </w:p>
    <w:p>
      <w:r>
        <w:t xml:space="preserve">(2) Bei der Ermittlung der Rangpunktzahl sind die Rangpunkte der Ausbildungsabschnitte jeweils einfach zu gewichten.</w:t>
      </w:r>
    </w:p>
    <w:p>
      <w:r>
        <w:rPr>
          <w:color w:val="555555"/>
          <w:sz w:val="17"/>
        </w:rPr>
        <w:t xml:space="preserve">Zitiervorschlag: § 47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