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MtDBwVVDV — Rangpunktzahlen der Lehrgänge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Nach dem Ende der Lehrgänge berechnet das Bildungszentrum der Bundeswehr für jede Anwärterin und jeden Anwärter</w:t>
      </w:r>
    </w:p>
    <w:p>
      <w:pPr>
        <w:ind w:left="420"/>
      </w:pPr>
      <w:r>
        <w:t xml:space="preserve">1. eine Rangpunktzahl für den Lehrgang „Rechtsgrundlagen in der Praxis für den mittleren technischen Verwaltungsdienst“ und</w:t>
      </w:r>
    </w:p>
    <w:p>
      <w:pPr>
        <w:ind w:left="420"/>
      </w:pPr>
      <w:r>
        <w:t xml:space="preserve">2. eine gemeinsame Rangpunktzahl für den Einführungslehrgang, den Lehrgang „Datenverarbeitung“ und den Abschlusslehrgang.</w:t>
      </w:r>
    </w:p>
    <w:p>
      <w:r>
        <w:t xml:space="preserve">(2) Bei der Ermittlung der Rangpunkzahl</w:t>
      </w:r>
    </w:p>
    <w:p>
      <w:pPr>
        <w:ind w:left="420"/>
      </w:pPr>
      <w:r>
        <w:t xml:space="preserve">1. nach Absatz 1 Nummer 1 sind die Rangpunkte der beiden Klausuren jeweils einfach zu gewichten und</w:t>
      </w:r>
    </w:p>
    <w:p>
      <w:pPr>
        <w:ind w:left="420"/>
      </w:pPr>
      <w:r>
        <w:t xml:space="preserve">2. nach Absatz 1 Nummer 2</w:t>
      </w:r>
    </w:p>
    <w:p>
      <w:pPr>
        <w:ind w:left="780"/>
      </w:pPr>
      <w:r>
        <w:t xml:space="preserve">a) sind die Rangpunkte der drei Klausuren des Abschlusslehrgangs jeweils vierfach zu gewichten,</w:t>
      </w:r>
    </w:p>
    <w:p>
      <w:pPr>
        <w:ind w:left="780"/>
      </w:pPr>
      <w:r>
        <w:t xml:space="preserve">b) ist die Rangpunktzahl der beiden Leistungstests des Lehrgangs „Datenverarbeitung“ zweifach zu gewichten und</w:t>
      </w:r>
    </w:p>
    <w:p>
      <w:pPr>
        <w:ind w:left="780"/>
      </w:pPr>
      <w:r>
        <w:t xml:space="preserve">c) ist die Rangpunktzahl der Leistungstests des Einführungs- und des Abschlusslehrgangs einfach zu gewichten.</w:t>
      </w:r>
    </w:p>
    <w:p>
      <w:r>
        <w:rPr>
          <w:color w:val="555555"/>
          <w:sz w:val="17"/>
        </w:rPr>
        <w:t xml:space="preserve">Zitiervorschlag: § 39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