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MtDBwVVDV — Lehrgänge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fachtheoretische Ausbildung besteht aus den folgenden Lehrgängen:</w:t>
      </w:r>
    </w:p>
    <w:p>
      <w:pPr>
        <w:ind w:left="420"/>
      </w:pPr>
      <w:r>
        <w:t xml:space="preserve">1. Einführungslehrgang,</w:t>
      </w:r>
    </w:p>
    <w:p>
      <w:pPr>
        <w:ind w:left="420"/>
      </w:pPr>
      <w:r>
        <w:t xml:space="preserve">2. Lehrgang „Rechtsgrundlagen in der Praxis für den mittleren technischen Verwaltungsdienst“,</w:t>
      </w:r>
    </w:p>
    <w:p>
      <w:pPr>
        <w:ind w:left="420"/>
      </w:pPr>
      <w:r>
        <w:t xml:space="preserve">3. Lehrgang „Datenverarbeitung“ und</w:t>
      </w:r>
    </w:p>
    <w:p>
      <w:pPr>
        <w:ind w:left="420"/>
      </w:pPr>
      <w:r>
        <w:t xml:space="preserve">4. Abschlusslehrgang.</w:t>
      </w:r>
    </w:p>
    <w:p>
      <w:r>
        <w:rPr>
          <w:color w:val="555555"/>
          <w:sz w:val="17"/>
        </w:rPr>
        <w:t xml:space="preserve">Zitiervorschlag: § 31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