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MtDBwVVDV — Einstellung in den Vorbereitungsdienst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In den Vorbereitungsdienst für den mittleren technischen Verwaltungsdienst in der Bundeswehrverwaltung im Verwendungsbereich Wehrtechnik kann eingestellt werden, wer</w:t>
      </w:r>
    </w:p>
    <w:p>
      <w:pPr>
        <w:ind w:left="420"/>
      </w:pPr>
      <w:r>
        <w:t xml:space="preserve">1. mindestens eine Hauptschule erfolgreich besucht hat,</w:t>
      </w:r>
    </w:p>
    <w:p>
      <w:pPr>
        <w:ind w:left="420"/>
      </w:pPr>
      <w:r>
        <w:t xml:space="preserve">2. eine Berufsausbildung, die einem der wehrtechnischen Fachgebiete zugeordnet werden kann, abgeschlossen hat oder einen als gleichwertig anerkannten Bildungsstand nachweisen kann,</w:t>
      </w:r>
    </w:p>
    <w:p>
      <w:pPr>
        <w:ind w:left="420"/>
      </w:pPr>
      <w:r>
        <w:t xml:space="preserve">3. das Auswahlverfahren bestanden hat und</w:t>
      </w:r>
    </w:p>
    <w:p>
      <w:pPr>
        <w:ind w:left="420"/>
      </w:pPr>
      <w:r>
        <w:t xml:space="preserve">4. die gesundheitlichen Anforderungen des mittleren technischen Verwaltungsdienstes im Verwendungsbereich Wehrtechnik erfüllt.</w:t>
      </w:r>
    </w:p>
    <w:p>
      <w:r>
        <w:t xml:space="preserve">(2) Ob jemand die gesundheitlichen Anforderungen erfüllt, wird durch eine ärztliche Untersuchung der Einstellungsbehörde festgestellt. Alternativ kann die Einstellungsbehörde ein amtsärztliches Gutachten anfordern. Sie trägt die hierfür entstehenden Kosten.</w:t>
      </w:r>
    </w:p>
    <w:p>
      <w:r>
        <w:t xml:space="preserve">(3) Über die Einstellung der Bewerberinnen und Bewerber entscheidet die Einstellungsbehörde auf der Grundlage der Rangfolge nach dem Auswahlverfahren.</w:t>
      </w:r>
    </w:p>
    <w:p>
      <w:r>
        <w:t xml:space="preserve">(4) Im Falle der Ablehnung gilt § 11 Absatz 3 entsprechend.</w:t>
      </w:r>
    </w:p>
    <w:p>
      <w:r>
        <w:rPr>
          <w:color w:val="555555"/>
          <w:sz w:val="17"/>
        </w:rPr>
        <w:t xml:space="preserve">Zitiervorschlag: § 21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