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MsbLärmSchV — Berechnung des Beurteilungspegels</w:t>
      </w:r>
    </w:p>
    <w:p>
      <w:r>
        <w:rPr>
          <w:color w:val="555555"/>
          <w:sz w:val="18"/>
        </w:rPr>
        <w:t xml:space="preserve">Magnetschwebebahn-Lärmschutzverordnung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Beurteilungspegel ist nach der Anlage zu berechnen. Die dort unter Nummer 2.1 genannten Angaben hat der Betreiber der Magnetschwebebahn beizubringen.</w:t>
      </w:r>
    </w:p>
    <w:p>
      <w:r>
        <w:rPr>
          <w:color w:val="555555"/>
          <w:sz w:val="17"/>
        </w:rPr>
        <w:t xml:space="preserve">Zitiervorschlag: § 3 MsbLärmSchV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https://recht.nulegal.eu/gesetze/MsbL%C3%A4rmSchV/3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