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MsZVO (Nordrhein-Westfalen) — Inkrafttreten</w:t>
      </w:r>
    </w:p>
    <w:p>
      <w:r>
        <w:rPr>
          <w:color w:val="555555"/>
          <w:sz w:val="18"/>
        </w:rPr>
        <w:t xml:space="preserve">Mietspiegel-Zuständigkeits-Verordnung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Juli 2022 in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Für die Ministerin für Heimat, Kommunales, Bau und Gleichstellung</w:t>
      </w:r>
    </w:p>
    <w:p>
      <w:r>
        <w:t xml:space="preserve">Die Ministerin für Verkehr</w:t>
      </w:r>
    </w:p>
    <w:p>
      <w:r>
        <w:rPr>
          <w:color w:val="555555"/>
          <w:sz w:val="17"/>
        </w:rPr>
        <w:t xml:space="preserve">Zitiervorschlag: § 3 MsZVO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https://recht.nulegal.eu/gesetze/MsZVO/3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