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MsV — Allgemeine Anforderungen</w:t>
      </w:r>
    </w:p>
    <w:p>
      <w:r>
        <w:rPr>
          <w:color w:val="555555"/>
          <w:sz w:val="18"/>
        </w:rPr>
        <w:t xml:space="preserve">Mietspiegelverordnung</w:t>
      </w:r>
    </w:p>
    <w:p>
      <w:r>
        <w:rPr>
          <w:color w:val="555555"/>
          <w:sz w:val="18"/>
        </w:rPr>
        <w:t xml:space="preserve">Stand: 01.07.2022 (konsolidierte Textfassung, kein amtliches Inkrafttretensdatum)</w:t>
      </w:r>
    </w:p>
    <w:p>
      <w:r>
        <w:t xml:space="preserve">(1) Das für qualifizierte Mietspiegel bestehende Erfordernis der Erstellung nach anerkannten wissenschaftlichen Grundsätzen (§ 558d Absatz 1 Satz 1 des Bürgerlichen Gesetzbuchs) betrifft alle Phasen der Mietspiegelerstellung.</w:t>
      </w:r>
    </w:p>
    <w:p>
      <w:r>
        <w:t xml:space="preserve">(2) Soweit Mietspiegel unter Beachtung der in den §§ 7 bis 21 geregelten Anforderungen erstellt wurden, wird vermutet, dass sie anerkannten wissenschaftlichen Grundsätzen entsprechen. Soweit Mietspiegel diese Anforderungen nicht erfüllen, sind sie einfache Mietspiegel.</w:t>
      </w:r>
    </w:p>
    <w:p>
      <w:r>
        <w:rPr>
          <w:color w:val="555555"/>
          <w:sz w:val="17"/>
        </w:rPr>
        <w:t xml:space="preserve">Zitiervorschlag: § 6 MsV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https://recht.nulegal.eu/gesetze/MsV/6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