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MsV — Anpassung mittels Stichprobe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Bei der Anpassung eines qualifizierten Mietspiegels mittels Stichprobe können vereinfachende, mit der Fortschreibung auf der Grundlage eines Indexes vergleichbare Annahmen getroffen werden.</w:t>
      </w:r>
    </w:p>
    <w:p>
      <w:r>
        <w:t xml:space="preserve">(2) Die §§ 7 bis 21 sind auf die Anpassung mittels Stichprobe entsprechend anwendbar. Der Umfang der bereinigten Nettostichprobe kann von den in § 11 bezeichneten Werten abweichen, sofern nach Absatz 1 getroffene, vereinfachende Annahmen dies zulassen.</w:t>
      </w:r>
    </w:p>
    <w:p>
      <w:r>
        <w:t xml:space="preserve">(3) Vereinfachende Annahmen nach Absatz 1 sowie ein von den Werten des § 11 abweichender Stichprobenumfang sind in der Dokumentation darzulegen und zu begründen.</w:t>
      </w:r>
    </w:p>
    <w:p>
      <w:r>
        <w:rPr>
          <w:color w:val="555555"/>
          <w:sz w:val="17"/>
        </w:rPr>
        <w:t xml:space="preserve">Zitiervorschlag: § 23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