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MsV — Veröffentlichung</w:t>
      </w:r>
    </w:p>
    <w:p>
      <w:r>
        <w:rPr>
          <w:color w:val="555555"/>
          <w:sz w:val="18"/>
        </w:rPr>
        <w:t xml:space="preserve">Mietspiegelverordnung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Der qualifizierte Mietspiegel und seine Dokumentation sind kostenfrei im Internet zu veröffentlichen. Für ihre Abgabe in gedruckter Form können angemessene Entgelte verlangt werden.</w:t>
      </w:r>
    </w:p>
    <w:p>
      <w:r>
        <w:t xml:space="preserve">(2) Die Veröffentlichung des qualifizierten Mietspiegels soll binnen einer Frist von neun Monaten nach dem Stichtag, auf den sich die Erhebung bezieht, erfolgen.</w:t>
      </w:r>
    </w:p>
    <w:p>
      <w:r>
        <w:rPr>
          <w:color w:val="555555"/>
          <w:sz w:val="17"/>
        </w:rPr>
        <w:t xml:space="preserve">Zitiervorschlag: § 21 MsV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