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MsV — Dokumentation</w:t>
      </w:r>
    </w:p>
    <w:p>
      <w:r>
        <w:rPr>
          <w:color w:val="555555"/>
          <w:sz w:val="18"/>
        </w:rPr>
        <w:t xml:space="preserve">Mietspiegelverordnung</w:t>
      </w:r>
    </w:p>
    <w:p>
      <w:r>
        <w:rPr>
          <w:color w:val="555555"/>
          <w:sz w:val="18"/>
        </w:rPr>
        <w:t xml:space="preserve">Stand: 01.07.2022 (konsolidierte Textfassung, kein amtliches Inkrafttretensdatum)</w:t>
      </w:r>
    </w:p>
    <w:p>
      <w:r>
        <w:t xml:space="preserve">(1) Angaben, die für die Anwendung des qualifizierten Mietspiegels notwendig sind, einschließlich des Stichtags, zu dem die Daten für den Mietspiegel erhoben wurden, sind in den Mietspiegel aufzunehmen.</w:t>
      </w:r>
    </w:p>
    <w:p>
      <w:r>
        <w:t xml:space="preserve">(2) Erläuterungen, die notwendig sind, um das Verfahren und die Bewertungen, die zu den Angaben im qualifizierten Mietspiegel, auch in der fortgeschriebenen Form, geführt haben, nachzuvollziehen und zu prüfen, sind in einer Dokumentation darzulegen. Die Dokumentation soll vom Text- und Ergebnisteil des Mietspiegels getrennt sein. Sie soll es ermöglichen, die im qualifizierten Mietspiegel angegebenen Werte in ihrer Herleitung nachzuvollziehen; nicht erforderlich ist eine Dokumentation, die eine vollständige Nachberechnung der Ergebnisse ermöglicht.</w:t>
      </w:r>
    </w:p>
    <w:p>
      <w:r>
        <w:t xml:space="preserve">(3) In der Dokumentation ist in allgemeiner Form darzustellen, welche der personenbezogenen Daten, die ursprünglich für andere Zwecke erhoben wurden, der Mietspiegelersteller von öffentlichen und nichtöffentlichen Stellen erhalten hat und wozu diese Daten benötigt und verwendet wurden.</w:t>
      </w:r>
    </w:p>
    <w:p>
      <w:r>
        <w:t xml:space="preserve">(4) Weitere Anforderungen an die Dokumentation ergeben sich aus § 8 Absatz 4, § 9 Absatz 4, § 10 Absatz 2, § 11 Absatz 4, § 12 Absatz 3, § 13 Absatz 3, § 14 Absatz 2, § 15 Absatz 5, § 16 Absatz 4, § 19 Absatz 5 und § 23 Absatz 3.</w:t>
      </w:r>
    </w:p>
    <w:p>
      <w:r>
        <w:rPr>
          <w:color w:val="555555"/>
          <w:sz w:val="17"/>
        </w:rPr>
        <w:t xml:space="preserve">Zitiervorschlag: § 20 MsV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