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MsV — Begriffsbestimmungen</w:t>
      </w:r>
    </w:p>
    <w:p>
      <w:r>
        <w:rPr>
          <w:color w:val="555555"/>
          <w:sz w:val="18"/>
        </w:rPr>
        <w:t xml:space="preserve">Mietspiegelverordnung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Wohnwertrelevante gesetzliche Merkmale sind die in § 558 Absatz 2 Satz 1 des Bürgerlichen Gesetzbuchs genannten Merkmale Art, Größe, Ausstattung, Beschaffenheit und Lage einer Wohnung, soweit sie für die Mietpreisbildung relevant sind oder im Erstellungsstadium des Mietspiegels relevant sein können.</w:t>
      </w:r>
    </w:p>
    <w:p>
      <w:r>
        <w:t xml:space="preserve">(2) Außergesetzliche Merkmale sind Merkmale in Bezug auf die Wohnung oder das Mietverhältnis, die in § 558 Absatz 2 Satz 1 des Bürgerlichen Gesetzbuchs nicht genannt sind, aber dennoch für die Mietpreisbildung relevant sind oder im Erstellungsstadium des Mietspiegels relevant sein können.</w:t>
      </w:r>
    </w:p>
    <w:p>
      <w:r>
        <w:t xml:space="preserve">(3) Die Auswertungsgrundgesamtheit ist die Gesamtheit der mietspiegelrelevanten Wohnungen.</w:t>
      </w:r>
    </w:p>
    <w:p>
      <w:r>
        <w:t xml:space="preserve">(4) Die Erhebungsgrundgesamtheit ist die Gesamtheit der Wohnungen, aus der die Bruttostichprobe gezogen wird, um nach Aussortierung nicht mietspiegelrelevanter Wohnungen die für den Mietspiegel relevante Stichprobe der Auswertungsgrundgesamtheit zu generieren.</w:t>
      </w:r>
    </w:p>
    <w:p>
      <w:r>
        <w:rPr>
          <w:color w:val="555555"/>
          <w:sz w:val="17"/>
        </w:rPr>
        <w:t xml:space="preserve">Zitiervorschlag: § 2 MsV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