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MsV — Datenauswertung bei der Tabellenanalyse</w:t>
      </w:r>
    </w:p>
    <w:p>
      <w:r>
        <w:rPr>
          <w:color w:val="555555"/>
          <w:sz w:val="18"/>
        </w:rPr>
        <w:t xml:space="preserve">Mietspiegelverordnung</w:t>
      </w:r>
    </w:p>
    <w:p>
      <w:r>
        <w:rPr>
          <w:color w:val="555555"/>
          <w:sz w:val="18"/>
        </w:rPr>
        <w:t xml:space="preserve">Stand: 01.07.2022 (konsolidierte Textfassung, kein amtliches Inkrafttretensdatum)</w:t>
      </w:r>
    </w:p>
    <w:p>
      <w:r>
        <w:t xml:space="preserve">(1) Wird die ortsübliche Vergleichsmiete mithilfe der Tabellenanalyse ermittelt, so sind Tabellenfelder durch Kombinationen wohnwertrelevanter gesetzlicher Merkmale zu bilden mit dem Ziel, in sich möglichst homogene Tabellenfelder zu erzeugen, die gegenüber anderen Tabellenfeldern möglichst verschieden sind.</w:t>
      </w:r>
    </w:p>
    <w:p>
      <w:r>
        <w:t xml:space="preserve">(2) Lassen sich ungeachtet des Vorgehens nach Absatz 1 abweichende homogene Teilmengen innerhalb eines Tabellenfeldes feststellen, die sich in ihren Mieten signifikant von den restlichen Mieten des Tabellenfeldes unterscheiden, so soll überprüft werden, ob hierfür separate Tabellenfelder gebildet oder ergänzende Hinweise für die Bewertung dieser Teilmengen gegeben werden können.</w:t>
      </w:r>
    </w:p>
    <w:p>
      <w:r>
        <w:t xml:space="preserve">(3) In der Dokumentation ist darzustellen, nach welchen Kriterien und Verfahren die Tabellenfelder gebildet wurden, wie viele Wohnungen für ein Tabellenfeld ausgewertet wurden und wie hoch die Mieten dieser Wohnungen waren.</w:t>
      </w:r>
    </w:p>
    <w:p>
      <w:r>
        <w:rPr>
          <w:color w:val="555555"/>
          <w:sz w:val="17"/>
        </w:rPr>
        <w:t xml:space="preserve">Zitiervorschlag: § 13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