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MsV — Stichprobenumfang</w:t>
      </w:r>
    </w:p>
    <w:p>
      <w:r>
        <w:rPr>
          <w:color w:val="555555"/>
          <w:sz w:val="18"/>
        </w:rPr>
        <w:t xml:space="preserve">Mietspiegelverordnung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Die bereinigte Nettostichprobe muss eine ausreichende Datenmenge enthalten.</w:t>
      </w:r>
    </w:p>
    <w:p>
      <w:r>
        <w:t xml:space="preserve">(2) Bei Tabellenanalysen ist hierfür im Regelfall eine Belegung von mindestens 30 Wohnungen pro Tabellenfeld erforderlich.</w:t>
      </w:r>
    </w:p>
    <w:p>
      <w:r>
        <w:t xml:space="preserve">(3) Bei Regressionsanalysen soll die bereinigte Nettostichprobe Wohnungen in einer Anzahl enthalten, die wenigstens ein Prozent der Wohnungen im Geltungsbereich des Mietspiegels entspricht. Unterschreitet die nach Satz 1 erforderliche Anzahl an Wohnungen 500, so bedarf es in der Regel eines Stichprobenumfangs von mindestens 500 Wohnungen. Übersteigt die nach Satz 1 erforderliche Anzahl an Wohnungen 3 000, so genügt ein Stichprobenumfang von 3 000 Wohnungen.</w:t>
      </w:r>
    </w:p>
    <w:p>
      <w:r>
        <w:t xml:space="preserve">(4) Die Erfüllung der Anforderungen nach den Absätzen 1 bis 3 ist in der Dokumentation nachzuweisen.</w:t>
      </w:r>
    </w:p>
    <w:p>
      <w:r>
        <w:rPr>
          <w:color w:val="555555"/>
          <w:sz w:val="17"/>
        </w:rPr>
        <w:t xml:space="preserve">Zitiervorschlag: § 11 MsV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