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6.11 MoselSchPV 1997 — Überholverbot durch Schiffahrtszeichen</w:t>
      </w:r>
    </w:p>
    <w:p>
      <w:r>
        <w:rPr>
          <w:color w:val="555555"/>
          <w:sz w:val="18"/>
        </w:rPr>
        <w:t xml:space="preserve">Moselschiffahrtspolizeiverordnung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des § 6.08 Nr. 1 besteht</w:t>
      </w:r>
    </w:p>
    <w:p>
      <w:pPr>
        <w:ind w:left="420"/>
      </w:pPr>
      <w:r>
        <w:t xml:space="preserve">a) auf Strecken, deren Grenzen durch das Tafelzeichen A.2 (Anlage 7) gekennzeichnet sind, ein allgemeines Überholverbot,... nicht darstellbares Tafelzeichen A.2Fundstelle: Anlageband zum BGBl. II Nr. 38 v. 16.9.1997, S. 46</w:t>
      </w:r>
    </w:p>
    <w:p>
      <w:pPr>
        <w:ind w:left="420"/>
      </w:pPr>
      <w:r>
        <w:t xml:space="preserve">b) auf Strecken, deren Grenzen durch das Tafelzeichen A.3 (Anlage 7) gekennzeichnet sind, ein Überholverbot für Verbände untereinander. Dies gilt nicht, wenn einer der Verbände ein Schubverband ist, dessen Länge 110,00 m nicht überschreitet.... nicht darstellbares Tafelzeichen A.3</w:t>
      </w:r>
    </w:p>
    <w:p>
      <w:r>
        <w:rPr>
          <w:color w:val="555555"/>
          <w:sz w:val="17"/>
        </w:rPr>
        <w:t xml:space="preserve">Zitiervorschlag: § 6.11 MoselSchPV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https://recht.nulegal.eu/gesetze/MoselSchPV%201997/6.11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6.11 MoselSchPV 1997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