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6.01 MoselSchPV 1997 — Fahrt unter Segel</w:t>
      </w:r>
    </w:p>
    <w:p>
      <w:r>
        <w:rPr>
          <w:color w:val="555555"/>
          <w:sz w:val="18"/>
        </w:rPr>
        <w:t xml:space="preserve">Moselschiffahrtspolizeiverordnung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Fahrzeuge unter Segel - ausgenommen Kleinfahrzeuge - dürfen nur bei Tag und mit Erlaubnis der zuständigen Behörde fahren.</w:t>
      </w:r>
    </w:p>
    <w:p>
      <w:r>
        <w:rPr>
          <w:color w:val="555555"/>
          <w:sz w:val="17"/>
        </w:rPr>
        <w:t xml:space="preserve">Zitiervorschlag: § 6.01 MoselSchPV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https://recht.nulegal.eu/gesetze/MoselSchPV%201997/6.01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