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3.21 MoselSchPV 1997 — Zusätzliche Bezeichnung stilliegender Fahrzeuge bei Beförderung bestimmter gefährlicher Güter (Anlage 3 Bild 42, 43, 44)</w:t>
      </w:r>
    </w:p>
    <w:p>
      <w:r>
        <w:rPr>
          <w:color w:val="555555"/>
          <w:sz w:val="18"/>
        </w:rPr>
        <w:t xml:space="preserve">Moselschiffahrtspolizeiverordnung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3.14 gilt für die dort genannten Fahrzeuge, Schubverbände und gekuppelten Fahrzeuge auch beim Stilliegen. ... nicht darstellbare je 2 Bilder 42, 43, 44 Fundstelle: Anlageband zum BGBl. II Nr. 38 v. 16.9.1997, S. 31</w:t>
      </w:r>
    </w:p>
    <w:p>
      <w:r>
        <w:rPr>
          <w:color w:val="555555"/>
          <w:sz w:val="17"/>
        </w:rPr>
        <w:t xml:space="preserve">Zitiervorschlag: § 3.21 MoselSchPV 1997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https://recht.nulegal.eu/gesetze/MoselSchPV%201997/3.21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