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3.19 MoselSchPV 1997 — Bezeichnung der Schwimmkörper und schwimmenden Anlagen in Fahrt (Anlage 3 Bild 39)</w:t>
      </w:r>
    </w:p>
    <w:p>
      <w:r>
        <w:rPr>
          <w:color w:val="555555"/>
          <w:sz w:val="18"/>
        </w:rPr>
        <w:t xml:space="preserve">Moselschiffahrtspolizeiverordnung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Unbeschadet der besonderen Bedingungen, die nach § 1.21 festgelegt werden können, müssen Schwimmkörper und schwimmende Anlagen in Fahrt bei Nacht führen: von allen Seiten sichtbare weiße helle Lichter in genügender Zahl, um ihre Umrisse kenntlich zu machen. ... nicht darstellbares Bild 39 Fundstelle: Anlageband zum BGBl. II Nr. 38 v. 16.9.1997, S. 30</w:t>
      </w:r>
    </w:p>
    <w:p>
      <w:r>
        <w:rPr>
          <w:color w:val="555555"/>
          <w:sz w:val="17"/>
        </w:rPr>
        <w:t xml:space="preserve">Zitiervorschlag: § 3.19 MoselSchPV 1997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https://recht.nulegal.eu/gesetze/MoselSchPV%201997/3.19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