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3.18 MoselSchPV 1997 — Zusätzliche Bezeichnung manövrierunfähiger Fahrzeuge in Fahrt (Anlage 3: Bild 38)</w:t>
      </w:r>
    </w:p>
    <w:p>
      <w:r>
        <w:rPr>
          <w:color w:val="555555"/>
          <w:sz w:val="18"/>
        </w:rPr>
        <w:t xml:space="preserve">Moselschiffahrtspolizeiverordnung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manövrierunfähiges Fahrzeug in Fahrt muss erforderlichenfalls außer der anderen nach dieser Verordnung vorgeschriebenen Bezeichnung</w:t>
      </w:r>
    </w:p>
    <w:p>
      <w:pPr>
        <w:ind w:left="420"/>
      </w:pPr>
      <w:r>
        <w:t xml:space="preserve">- bei Nacht:ein rotes Licht zeigen, das geschwenkt wird;... nicht darstellbares Bild 38Fundstelle: Anlageband zum BGBl. II Nr. 38 v. 16.9.1997, S. 29</w:t>
      </w:r>
    </w:p>
    <w:p>
      <w:pPr>
        <w:ind w:left="420"/>
      </w:pPr>
      <w:r>
        <w:t xml:space="preserve">- bei Tag:eine rote Flagge zeigen, die geschwenkt wird,... nicht darstellbares Bild 38(Fundstelle: Anlageband zum BGBl. II Nr. 38 v. 16.9.1997, S. 30)oderdas vorgeschriebene Schallzeichen geben,oderbeides zugleich tun.</w:t>
      </w:r>
    </w:p>
    <w:p>
      <w:r>
        <w:t xml:space="preserve">Die Flagge kann durch eine Tafel gleicher Farbe ersetzt werden.</w:t>
      </w:r>
    </w:p>
    <w:p>
      <w:r>
        <w:rPr>
          <w:color w:val="555555"/>
          <w:sz w:val="17"/>
        </w:rPr>
        <w:t xml:space="preserve">Zitiervorschlag: § 3.18 MoselSchPV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https://recht.nulegal.eu/gesetze/MoselSchPV%201997/3.18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3.18 MoselSchPV 1997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