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MontanMitbestG</w:t>
      </w:r>
    </w:p>
    <w:p>
      <w:r>
        <w:rPr>
          <w:color w:val="555555"/>
          <w:sz w:val="18"/>
        </w:rPr>
        <w:t xml:space="preserve">Gesetz über die Mitbestimmung der Arbeitnehmer in den Aufsichtsräten und Vorständen der Unternehmen des Bergbaus und der Eisen und Stahl erzeugenden Industrie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gleichberechtigtes Mitglied des zur gesetzlichen Vertretung berufenen Organs wird ein Arbeitsdirektor bestellt. Der Arbeitsdirektor kann nicht gegen die Stimmen der Mehrheit der nach § 6 gewählten Aufsichtsratsmitglieder bestellt werden. Das gleiche gilt für den Widerruf der Bestellung.</w:t>
      </w:r>
    </w:p>
    <w:p>
      <w:r>
        <w:t xml:space="preserve">(2) Der Arbeitsdirektor hat wie die übrigen Mitglieder des zur gesetzlichen Vertretung berufenen Organs seine Aufgaben im engsten Einvernehmen mit dem Gesamtorgan auszuüben. Das Nähere bestimmt die Geschäftsordnung.</w:t>
      </w:r>
    </w:p>
    <w:p>
      <w:r>
        <w:rPr>
          <w:color w:val="555555"/>
          <w:sz w:val="17"/>
        </w:rPr>
        <w:t xml:space="preserve">Zitiervorschlag: § 13 MontanMitbestG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https://recht.nulegal.eu/gesetze/MontanMitbestG/13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