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MontanMitbestG</w:t>
      </w:r>
    </w:p>
    <w:p>
      <w:r>
        <w:rPr>
          <w:color w:val="555555"/>
          <w:sz w:val="18"/>
        </w:rPr>
        <w:t xml:space="preserve">Gesetz über die Mitbestimmung der Arbeitnehmer in den Aufsichtsräten und Vorständen der Unternehmen des Bergbaus und der Eisen und Stahl erzeugenden Industrie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Aufsichtsrat ist beschlußfähig, wenn mindestens die Hälfte der Mitglieder, aus denen er nach diesem Gesetz oder der Satzung insgesamt zu bestehen hat, an der Beschlußfassung teilnimmt. § 108 Abs. 2 Satz 4 des Aktiengesetzes findet Anwendung.</w:t>
      </w:r>
    </w:p>
    <w:p>
      <w:r>
        <w:rPr>
          <w:color w:val="555555"/>
          <w:sz w:val="17"/>
        </w:rPr>
        <w:t xml:space="preserve">Zitiervorschlag: § 10 MontanMitbestG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https://recht.nulegal.eu/gesetze/MontanMitbestG/10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