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MontÜG — Bußgeldvorschriften</w:t>
      </w:r>
    </w:p>
    <w:p>
      <w:r>
        <w:rPr>
          <w:color w:val="555555"/>
          <w:sz w:val="18"/>
        </w:rPr>
        <w:t xml:space="preserve">Montrealer-Übereinkommen-Durchführungsgesetz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entgegen § 4 Abs. 2 oder</w:t>
      </w:r>
    </w:p>
    <w:p>
      <w:pPr>
        <w:ind w:left="420"/>
      </w:pPr>
      <w:r>
        <w:t xml:space="preserve">2. entgegen Artikel 4 Abs. 1 in Verbindung mit Artikel 6 Abs. 3 der Verordnung (EG) Nr. 785/2004 des Europäischen Parlaments und des Rates vom 21. April 2004 über Versicherungsanforderungen an Luftfahrtunternehmen und Luftfahrzeugbetreiber (ABl. EU Nr. L 138 S. 1), soweit die Versicherung zur Deckung der Haftung für die Zerstörung, die Beschädigung und den Verlust von Gütern betroffen ist,</w:t>
      </w:r>
    </w:p>
    <w:p>
      <w:r>
        <w:t xml:space="preserve">jeweils in Verbindung mit einer Rechtsverordnung nach § 4 Abs. 3 Satz 1, eine Haftpflichtversicherung nicht unterhält.</w:t>
      </w:r>
    </w:p>
    <w:p>
      <w:r>
        <w:t xml:space="preserve">(2) Die Ordnungswidrigkeit kann mit einer Geldbuße bis zu fünfzigtausend Euro geahndet werden.</w:t>
      </w:r>
    </w:p>
    <w:p>
      <w:r>
        <w:t xml:space="preserve">(3) Verwaltungsbehörde im Sinne des § 36 Abs. 1 Nr. 1 des Gesetzes über Ordnungswidrigkeiten ist, soweit dieses Gesetz nicht von Landesbehörden ausgeführt wird, das Luftfahrt-Bundesamt.</w:t>
      </w:r>
    </w:p>
    <w:p>
      <w:r>
        <w:rPr>
          <w:color w:val="555555"/>
          <w:sz w:val="17"/>
        </w:rPr>
        <w:t xml:space="preserve">Zitiervorschlag: § 5 MontÜG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https://recht.nulegal.eu/gesetze/Mont%C3%9CG/5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