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MontÜG — Haftung bei Güterschäden</w:t>
      </w:r>
    </w:p>
    <w:p>
      <w:r>
        <w:rPr>
          <w:color w:val="555555"/>
          <w:sz w:val="18"/>
        </w:rPr>
        <w:t xml:space="preserve">Montrealer-Übereinkommen-Durchführungsgesetz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Güter zerstört, beschädigt oder gehen sie verloren, bestimmt sich die Art des nach Artikel 18 des Montrealer Übereinkommens zu leistenden Schadensersatzes nach § 429 des Handelsgesetzbuchs.</w:t>
      </w:r>
    </w:p>
    <w:p>
      <w:r>
        <w:rPr>
          <w:color w:val="555555"/>
          <w:sz w:val="17"/>
        </w:rPr>
        <w:t xml:space="preserve">Zitiervorschlag: § 2 MontÜG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https://recht.nulegal.eu/gesetze/Mont%C3%9CG/2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