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MolkMeistPrV 2021 — Inkrafttreten, Außerkrafttreten</w:t>
      </w:r>
    </w:p>
    <w:p>
      <w:r>
        <w:rPr>
          <w:color w:val="555555"/>
          <w:sz w:val="18"/>
        </w:rPr>
        <w:t xml:space="preserve">Molkereimeister-Prüfungsverordnung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Diese Verordnung tritt am Tag nach der Verkündung in Kraft. Gleichzeitig tritt die Verordnung über die Anforderungen in der Meisterprüfung für den Beruf Molkereifachmann/Molkereifachfrau vom 27. Mai 1994 (BGBl. I S. 1195), die zuletzt durch Artikel 7 der Verordnung vom 21. Mai 2014 (BGBl. I S. 548; 2016 I S. 338) geändert worden ist, außer Kraft.</w:t>
      </w:r>
    </w:p>
    <w:p>
      <w:r>
        <w:rPr>
          <w:color w:val="555555"/>
          <w:sz w:val="17"/>
        </w:rPr>
        <w:t xml:space="preserve">Zitiervorschlag: § 26 MolkMeistPrV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https://recht.nulegal.eu/gesetze/MolkMeistPrV%202021/26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